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УТВЕРЖДАЮ</w:t>
      </w:r>
    </w:p>
    <w:p w:rsidR="00000000" w:rsidDel="00000000" w:rsidP="00000000" w:rsidRDefault="00000000" w:rsidRPr="00000000" w14:paraId="00000002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Ректор АНО ВО «СКУДН»</w:t>
      </w:r>
    </w:p>
    <w:p w:rsidR="00000000" w:rsidDel="00000000" w:rsidP="00000000" w:rsidRDefault="00000000" w:rsidRPr="00000000" w14:paraId="00000003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________________ Т. А. Казакбиев</w:t>
      </w:r>
    </w:p>
    <w:p w:rsidR="00000000" w:rsidDel="00000000" w:rsidP="00000000" w:rsidRDefault="00000000" w:rsidRPr="00000000" w14:paraId="00000004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«___» __________ 2026 г.</w:t>
      </w:r>
    </w:p>
    <w:p w:rsidR="00000000" w:rsidDel="00000000" w:rsidP="00000000" w:rsidRDefault="00000000" w:rsidRPr="00000000" w14:paraId="00000005">
      <w:pPr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КОМПЛЕКСНАЯ ПРОГРАММА РАЗВИТИЯ МЕЖДУНАРОДНОГО СОТРУДНИЧЕСТВА «МАХАЧКАЛА — ФАНЧЭНГАН: ЕВРАЗИЙСКИЙ МОСТ ДОЛГОЛЕТИЯ» (2026–2030 гг.)</w:t>
      </w:r>
    </w:p>
    <w:p w:rsidR="00000000" w:rsidDel="00000000" w:rsidP="00000000" w:rsidRDefault="00000000" w:rsidRPr="00000000" w14:paraId="00000007">
      <w:pPr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1. ВВЕДЕНИЕ: МИССИЯ И РУКОВОДСТВО</w:t>
      </w:r>
    </w:p>
    <w:p w:rsidR="00000000" w:rsidDel="00000000" w:rsidP="00000000" w:rsidRDefault="00000000" w:rsidRPr="00000000" w14:paraId="00000009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360" w:lineRule="auto"/>
        <w:rPr>
          <w:i w:val="1"/>
          <w:iCs w:val="1"/>
          <w:color w:val="999999"/>
          <w:sz w:val="18"/>
          <w:szCs w:val="18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Программа реализуется под стратегическим руководством Тавлу Абуталибовича Казакбиева, чьи компетенции в научно-образовательной сфере и глубокое понимание региональной специфики Дагестана обеспечивают проекту фундаментальную устойчивость.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Миссия: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Превращение Махачкалы в главный научно-медицинский хаб БРИКС+ на Северном Кавказе через синтез традиций долголетия Республики Дагестан и провинции Гуанси КНР на основе традиционных и инновационных технологий.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2. КЛЮЧЕВЫЕ КОМПЕТЕНЦИИ КОМАНДЫ (Архитектура «Двух рук»)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Проект опирается на уникальное сочетание административных и интеллектуальных ресурсов: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СКУДН (Махачкала):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Официальная образовательная лицензия — «Золотой стандарт» для китайского протокола. Университет выступает юридическим гарантом и базой для сертификации специалистов.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ЛЕАКИ (Лидеры Евроазиатской кооперации и интеграции): Экспертный хаб, обеспечивающий связь с федеральными центрами РФ и крупнейшими торговыми платформами Китая (CCE).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Деловой Центр развития инновационных и традиционных медицинских практик  «Меридиан»: Операционная площадка для внедрения практических медицинских методик.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3. ОСНОВНЫЕ НАПРАВЛЕНИЯ РАБОТЫ (Дорожная карта)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Блок А. Медицина и Здравоохранение (Проект «Здоровое поколение»)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«Кардиологический Кавказ»: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Масштабирование программы под патронажем Тавлу Абуталибовича. Обследование студентов и школьников (план на 2026 г. — более 50 000 чел.) с использованием инновационных кардиографов.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Центр изучения долголетия: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Создание совместного со специалистами из Фанчэнгана( Китай) научного центра на базе СК УДН.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Экспорт услуг: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Формирование потока медицинских туристов через Махачкалу в онкологические центры Санкт-Петербурга.</w:t>
      </w:r>
    </w:p>
    <w:p w:rsidR="00000000" w:rsidDel="00000000" w:rsidP="00000000" w:rsidRDefault="00000000" w:rsidRPr="00000000" w14:paraId="00000019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Блок Б. Образование и Кадры (Проект «Интеллектуальный лидер»)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Программа DBA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(Doctor of Business Administration): Подготовка управленческой элиты Дагестана на базе проекта «Цифровой Мост». Международного НИИ Проблем управления, и  Сингапурской академии менеджмента (аккредитована для стран альянса БРИКС) 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Академический обмен: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Регулярные стажировки дагестанских курсантов в Фанчэнгане (КНР) с получением официальных сертификатов СКУДН и приглашанеи академиков из Фанчэнгана для наставничества в области методик ТКМ на площадке СК УДН.</w:t>
      </w:r>
    </w:p>
    <w:p w:rsidR="00000000" w:rsidDel="00000000" w:rsidP="00000000" w:rsidRDefault="00000000" w:rsidRPr="00000000" w14:paraId="0000001C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Блок В. Торговля и Инвестиции (Проект «Чай Долголетия»)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Шлюз LEACI Integrator 8: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Интеграция дагестанских производителей в Банк данных компаний для работы в Евроазиатском экономическом пространстве (ЛЕАКИ) и их вывод на китайский рынок через Платформу CCE.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Инвестиции из КНР: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Привлечение китайского капитала для строительства высокотехнологичных производственных площадей мед-изделий в Махачкале.</w:t>
      </w:r>
    </w:p>
    <w:p w:rsidR="00000000" w:rsidDel="00000000" w:rsidP="00000000" w:rsidRDefault="00000000" w:rsidRPr="00000000" w14:paraId="0000001F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Блок Г. Культура и Дипломатия (Проект «Побратимство»)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Статус Побратимов: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Официальное установление связей Махачкала — Фанчэнган.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40" w:before="0" w:beforeAutospacing="0" w:line="360" w:lineRule="auto"/>
        <w:ind w:left="720" w:hanging="360"/>
      </w:pP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 Фестиваль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«Чайный Путь к Долголетию»</w:t>
      </w:r>
      <w:r w:rsidDel="00000000" w:rsidR="00000000" w:rsidRPr="00000000">
        <w:rPr>
          <w:b w:val="1"/>
          <w:bCs w:val="1"/>
          <w:color w:val="0a0a0a"/>
          <w:sz w:val="24"/>
          <w:szCs w:val="24"/>
          <w:rtl w:val="0"/>
        </w:rPr>
        <w:t xml:space="preserve">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Проведение ежегодного знакового события в Махачкале при участии ЛЕАКИ и Коалиции здоровья БРИКС.</w:t>
      </w:r>
    </w:p>
    <w:p w:rsidR="00000000" w:rsidDel="00000000" w:rsidP="00000000" w:rsidRDefault="00000000" w:rsidRPr="00000000" w14:paraId="00000022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4. ПРЕИМУЩЕСТВА ДЛЯ РЕГИОНА</w:t>
      </w:r>
    </w:p>
    <w:p w:rsidR="00000000" w:rsidDel="00000000" w:rsidP="00000000" w:rsidRDefault="00000000" w:rsidRPr="00000000" w14:paraId="00000023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Политический имидж: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Махачкала становится первой столицей в СКФО, реализующей модель побратимства нового типа (научно-производственный кластер).</w:t>
      </w:r>
    </w:p>
    <w:p w:rsidR="00000000" w:rsidDel="00000000" w:rsidP="00000000" w:rsidRDefault="00000000" w:rsidRPr="00000000" w14:paraId="00000024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Экономика: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Приток инвестиций и создание рабочих мест в высокотехнологичном секторе (IT и медицина).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Социальный эффект: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Снижение смертности от сердечно-сосудистых заболеваний среди молодежи благодаря ранней диагностике.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color w:val="0a0a0a"/>
          <w:sz w:val="24"/>
          <w:szCs w:val="24"/>
          <w:highlight w:val="white"/>
          <w:u w:val="non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Возвращение национальных чайных традиций народов Дагестана, например: ежегодный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Республиканский фестиваль горного чая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в Гунибском районе. Он объединяет производителей, собирателей трав и туристов, популяризируя дагестанский чай как культурный бренд. Жители республики возвращаются к ручному сбору дикорастущих трав, таких как </w:t>
      </w: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чабрец (кондари), мята, душица и зверобой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. Традиционно считается, что чай с чабрецом не только вкусен, но и обладает целебными свойствами.</w:t>
      </w:r>
    </w:p>
    <w:p w:rsidR="00000000" w:rsidDel="00000000" w:rsidP="00000000" w:rsidRDefault="00000000" w:rsidRPr="00000000" w14:paraId="00000027">
      <w:pPr>
        <w:rPr>
          <w:color w:val="0a0a0a"/>
          <w:sz w:val="30"/>
          <w:szCs w:val="3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335.99999999999994" w:lineRule="auto"/>
        <w:rPr>
          <w:b w:val="1"/>
          <w:b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b w:val="1"/>
          <w:bCs w:val="1"/>
          <w:color w:val="0a0a0a"/>
          <w:sz w:val="30"/>
          <w:szCs w:val="30"/>
          <w:highlight w:val="white"/>
          <w:rtl w:val="0"/>
        </w:rPr>
        <w:t xml:space="preserve">Аналитическая справка по компетенциям руководства:</w:t>
      </w:r>
    </w:p>
    <w:p w:rsidR="00000000" w:rsidDel="00000000" w:rsidP="00000000" w:rsidRDefault="00000000" w:rsidRPr="00000000" w14:paraId="00000029">
      <w:pPr>
        <w:shd w:fill="ffffff" w:val="clear"/>
        <w:spacing w:line="360" w:lineRule="auto"/>
        <w:rPr>
          <w:color w:val="0a0a0a"/>
          <w:sz w:val="24"/>
          <w:szCs w:val="24"/>
          <w:highlight w:val="white"/>
        </w:rPr>
      </w:pP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Под руководством Международного оргкомитета “Культурный пояс Великого чайного пути”  проект получает: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18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Легитимность: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Официальный статус через образовательную лицензию СК УДН.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Доверие КНР: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 Прямой выход на Народное правительство Фанчэнгана.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20" w:before="0" w:beforeAutospacing="0" w:line="36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Технологичность: </w:t>
      </w:r>
      <w:r w:rsidDel="00000000" w:rsidR="00000000" w:rsidRPr="00000000">
        <w:rPr>
          <w:color w:val="0a0a0a"/>
          <w:sz w:val="24"/>
          <w:szCs w:val="24"/>
          <w:highlight w:val="white"/>
          <w:rtl w:val="0"/>
        </w:rPr>
        <w:t xml:space="preserve">Внедрение систем мониторинга здоровья и цифровых торговых инструментов.</w:t>
      </w:r>
    </w:p>
    <w:p w:rsidR="00000000" w:rsidDel="00000000" w:rsidP="00000000" w:rsidRDefault="00000000" w:rsidRPr="00000000" w14:paraId="0000002D">
      <w:pPr>
        <w:rPr>
          <w:color w:val="0a0a0a"/>
          <w:sz w:val="30"/>
          <w:szCs w:val="30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360" w:lineRule="auto"/>
        <w:rPr>
          <w:b w:val="1"/>
          <w:b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b w:val="1"/>
          <w:bCs w:val="1"/>
          <w:color w:val="0a0a0a"/>
          <w:sz w:val="24"/>
          <w:szCs w:val="24"/>
          <w:highlight w:val="white"/>
          <w:rtl w:val="0"/>
        </w:rPr>
        <w:t xml:space="preserve">** Предложение по продвижению программы:</w:t>
      </w:r>
    </w:p>
    <w:p w:rsidR="00000000" w:rsidDel="00000000" w:rsidP="00000000" w:rsidRDefault="00000000" w:rsidRPr="00000000" w14:paraId="0000002F">
      <w:pPr>
        <w:shd w:fill="ffffff" w:val="clear"/>
        <w:spacing w:line="360" w:lineRule="auto"/>
        <w:rPr>
          <w:i w:val="1"/>
          <w:iCs w:val="1"/>
          <w:color w:val="0a0a0a"/>
          <w:sz w:val="24"/>
          <w:szCs w:val="24"/>
          <w:highlight w:val="white"/>
        </w:rPr>
      </w:pPr>
      <w:r w:rsidDel="00000000" w:rsidR="00000000" w:rsidRPr="00000000">
        <w:rPr>
          <w:i w:val="1"/>
          <w:iCs w:val="1"/>
          <w:color w:val="0a0a0a"/>
          <w:sz w:val="24"/>
          <w:szCs w:val="24"/>
          <w:highlight w:val="white"/>
          <w:rtl w:val="0"/>
        </w:rPr>
        <w:t xml:space="preserve">Данная Программа должна быть представлена на  заседании Правительства РД или Совета при Главе РД по инвестициям.</w:t>
      </w:r>
    </w:p>
    <w:p w:rsidR="00000000" w:rsidDel="00000000" w:rsidP="00000000" w:rsidRDefault="00000000" w:rsidRPr="00000000" w14:paraId="00000030">
      <w:pPr>
        <w:rPr>
          <w:i w:val="1"/>
          <w:iCs w:val="1"/>
          <w:color w:val="0a0a0a"/>
          <w:sz w:val="30"/>
          <w:szCs w:val="30"/>
          <w:highlight w:val="whit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0a0a0a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